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2248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5835506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Товара;</w:t>
          </w:r>
          <w:r w:rsidR="00A678EF" w:rsidRPr="0045496F">
            <w:rPr>
              <w:sz w:val="22"/>
              <w:szCs w:val="22"/>
            </w:rPr>
            <w:t>;</w:t>
          </w:r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подписания Договора.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822484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FC6366" w:rsidRPr="00124BD6">
            <w:t xml:space="preserve">технические паспорта, оформленные в соответствии с требованиями действующей в РФ НТД, с указанием производителя, технических данных Товара(в </w:t>
          </w:r>
          <w:proofErr w:type="spellStart"/>
          <w:r w:rsidR="00FC6366" w:rsidRPr="00124BD6">
            <w:t>т.ч</w:t>
          </w:r>
          <w:proofErr w:type="spellEnd"/>
          <w:r w:rsidR="00FC6366" w:rsidRPr="00124BD6">
            <w:t xml:space="preserve">. информации о тепловыделении всего поставляемого Товара),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  руководства (инструкции) по монтажу, пуско-наладке, эксплуатации на русском языке;  руководства (инструкции) по ремонту на русском языке; заверенные Поставщиком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</w:r>
          <w:proofErr w:type="spellStart"/>
          <w:r w:rsidR="00FC6366" w:rsidRPr="00124BD6">
            <w:t>т.ч</w:t>
          </w:r>
          <w:proofErr w:type="spellEnd"/>
          <w:r w:rsidR="00FC6366" w:rsidRPr="00124BD6">
            <w:t xml:space="preserve">.: сертификаты на соответствие продукции требованиям Технического регламента Таможенного союза от 18.10.2011 N 010/2011 "О безопасности машин и оборудования"; сертификаты на соответствие продукции требованиям Технического регламента Таможенного союза от </w:t>
          </w:r>
          <w:r w:rsidR="00FC6366" w:rsidRPr="00124BD6">
            <w:lastRenderedPageBreak/>
            <w:t xml:space="preserve">16.08.2011 г. № 004/2011 «О безопасности низковольтного оборудования»;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средств»; сертификаты соответствия продукции требованиям ГОСТ </w:t>
          </w:r>
          <w:proofErr w:type="gramStart"/>
          <w:r w:rsidR="00FC6366" w:rsidRPr="00124BD6">
            <w:t>Р</w:t>
          </w:r>
          <w:proofErr w:type="gramEnd"/>
          <w:r w:rsidR="00FC6366" w:rsidRPr="00124BD6">
            <w:t xml:space="preserve">; разрешения на применение; сертификаты об утверждении типа средств измерения, свидетельства о поверке комплектующих изделий Товара, методики проведения поверки и </w:t>
          </w:r>
          <w:proofErr w:type="spellStart"/>
          <w:r w:rsidR="00FC6366" w:rsidRPr="00124BD6">
            <w:t>т.д</w:t>
          </w:r>
          <w:proofErr w:type="spellEnd"/>
          <w:r w:rsidR="00FC6366" w:rsidRPr="00124BD6">
            <w:t>;  упаковочные лист</w:t>
          </w:r>
          <w:r w:rsidR="00FC6366">
            <w:t xml:space="preserve">ы;    </w:t>
          </w:r>
          <w:r w:rsidR="00FC6366" w:rsidRPr="00B357A5">
            <w:rPr>
              <w:u w:val="single"/>
            </w:rPr>
            <w:t>протоколы испытаний/предварительной приемки Товара и комплектующих изделий Товара на заводе-изготовит</w:t>
          </w:r>
          <w:r w:rsidR="00C848A6">
            <w:rPr>
              <w:u w:val="single"/>
            </w:rPr>
            <w:t xml:space="preserve">еле;     документация согласно </w:t>
          </w:r>
          <w:r w:rsidR="00FC6366" w:rsidRPr="00B357A5">
            <w:rPr>
              <w:u w:val="single"/>
            </w:rPr>
            <w:t>«Технических требований к комплектным устройствам и электроустановкам до 1000В для нужд ОАО «Славнефть-ЯНОС</w:t>
          </w:r>
          <w:proofErr w:type="gramStart"/>
          <w:r w:rsidR="00FC6366" w:rsidRPr="00B357A5">
            <w:rPr>
              <w:u w:val="single"/>
            </w:rPr>
            <w:t>»(</w:t>
          </w:r>
          <w:proofErr w:type="gramEnd"/>
          <w:r w:rsidR="00FC6366" w:rsidRPr="00B357A5">
            <w:rPr>
              <w:u w:val="single"/>
            </w:rPr>
            <w:t>раз</w:t>
          </w:r>
          <w:r w:rsidR="00C848A6">
            <w:rPr>
              <w:u w:val="single"/>
            </w:rPr>
            <w:t>дел 2.4) – Лот № 1</w:t>
          </w:r>
          <w:r w:rsidR="00FC6366" w:rsidRPr="00B357A5">
            <w:rPr>
              <w:u w:val="single"/>
            </w:rPr>
            <w:t>;</w:t>
          </w:r>
          <w:r w:rsidR="00FC6366">
            <w:rPr>
              <w:u w:val="single"/>
            </w:rPr>
            <w:t xml:space="preserve"> </w:t>
          </w:r>
          <w:r w:rsidR="00FC6366">
            <w:t xml:space="preserve">    </w:t>
          </w:r>
          <w:r w:rsidR="00FC6366" w:rsidRPr="00124BD6">
            <w:t>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</w:t>
          </w:r>
          <w:r w:rsidR="00FC6366">
            <w:t>обу отгрузки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848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848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848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848A6">
        <w:rPr>
          <w:color w:val="000000"/>
          <w:sz w:val="22"/>
          <w:szCs w:val="22"/>
        </w:rPr>
        <w:t>:</w:t>
      </w:r>
      <w:r w:rsidR="00EF57C5" w:rsidRPr="00C848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C848A6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C848A6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C848A6">
            <w:t>@</w:t>
          </w:r>
          <w:r w:rsidR="00A70158" w:rsidRPr="000D040C">
            <w:rPr>
              <w:lang w:val="en-US"/>
            </w:rPr>
            <w:t>yanos</w:t>
          </w:r>
          <w:r w:rsidR="00A70158" w:rsidRPr="00C848A6">
            <w:t>.</w:t>
          </w:r>
          <w:r w:rsidR="00A70158" w:rsidRPr="000D040C">
            <w:rPr>
              <w:lang w:val="en-US"/>
            </w:rPr>
            <w:t>slavneft</w:t>
          </w:r>
          <w:r w:rsidR="00A70158" w:rsidRPr="00C848A6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822484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>не позднее 42(сорока двух) календарных дней с даты Акцепта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с даты предоставления.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(двух)-</w:t>
              </w:r>
              <w:proofErr w:type="spellStart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F03491" w:rsidRDefault="00F03491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F03491" w:rsidRDefault="00F03491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F03491" w:rsidRDefault="00F03491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F03491" w:rsidRDefault="00F03491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lastRenderedPageBreak/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данные(</w:t>
              </w:r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одежде(в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.7. Не позднее 10(десяти) рабочих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 xml:space="preserve">Покупателю в полном объеме </w:t>
              </w:r>
              <w:r>
                <w:rPr>
                  <w:rFonts w:eastAsia="Tahoma" w:cs="Tahoma"/>
                </w:rPr>
                <w:t xml:space="preserve">согласованную Сторонами </w:t>
              </w:r>
              <w:r w:rsidRPr="00D92E6A">
                <w:rPr>
                  <w:rFonts w:eastAsia="Tahoma" w:cs="Tahoma"/>
                </w:rPr>
                <w:t>документацию, содержащуюся</w:t>
              </w:r>
              <w:r>
                <w:rPr>
                  <w:rFonts w:eastAsia="Tahoma" w:cs="Tahoma"/>
                </w:rPr>
                <w:t>:</w:t>
              </w:r>
              <w:r w:rsidRPr="00D92E6A">
                <w:rPr>
                  <w:rFonts w:eastAsia="Tahoma" w:cs="Tahoma"/>
                </w:rPr>
                <w:t xml:space="preserve"> в перечне </w:t>
              </w:r>
              <w:r w:rsidRPr="00D92E6A">
                <w:t xml:space="preserve">«Технических требований к комплектным устройствам и электроустановкам до 1000В для нужд ОАО «Славнефть-ЯНОС» </w:t>
              </w:r>
            </w:p>
            <w:p w:rsidR="000D0B45" w:rsidRPr="00D92E6A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jc w:val="both"/>
              </w:pPr>
              <w:r>
                <w:t>(п. 2.2)</w:t>
              </w:r>
              <w:r w:rsidR="0081499F">
                <w:t xml:space="preserve"> – Лот № 1</w:t>
              </w:r>
              <w:r>
                <w:t>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.8. Не позднее 42(сорока двух)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 w:rsidR="0081499F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Pr="00D92E6A">
                <w:t>«Технических требований к комплектным устройствам и электроустановкам до 1000В для ну</w:t>
              </w:r>
              <w:r>
                <w:t>жд ОАО «Славнефть-ЯНОС</w:t>
              </w:r>
              <w:proofErr w:type="gramStart"/>
              <w:r>
                <w:t>»(</w:t>
              </w:r>
              <w:proofErr w:type="gramEnd"/>
              <w:r>
                <w:t>п. 2.3)</w:t>
              </w:r>
              <w:r w:rsidR="0081499F" w:rsidRPr="0081499F">
                <w:t xml:space="preserve"> </w:t>
              </w:r>
              <w:r w:rsidR="000B2EF6">
                <w:t xml:space="preserve">- </w:t>
              </w:r>
              <w:r w:rsidR="0081499F">
                <w:t>Лот № 1</w:t>
              </w:r>
              <w:r>
                <w:t>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9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.7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 исполнения обязательства.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lastRenderedPageBreak/>
                <w:t>2.</w:t>
              </w:r>
              <w:r>
                <w:t>6</w:t>
              </w:r>
              <w:r w:rsidRPr="00D92E6A">
                <w:t>.</w:t>
              </w:r>
              <w:r>
                <w:t>10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</w:t>
              </w:r>
              <w:r>
                <w:t>8</w:t>
              </w:r>
              <w:r w:rsidRPr="00D92E6A">
                <w:t xml:space="preserve"> настоящего Приложения, Поставщик уплачивает Покупателю </w:t>
              </w:r>
              <w:r>
                <w:t>неустойку в размере 1 000 руб. в день за каждый день просрочки, но не более 10</w:t>
              </w:r>
              <w:r w:rsidRPr="00D92E6A">
                <w:t>% (</w:t>
              </w:r>
              <w:r>
                <w:t xml:space="preserve">десяти </w:t>
              </w:r>
              <w:r w:rsidRPr="00D92E6A">
                <w:t>процент</w:t>
              </w:r>
              <w:r>
                <w:t>ов</w:t>
              </w:r>
              <w:r w:rsidRPr="00D92E6A">
                <w:t>) от стоимости Товара</w:t>
              </w:r>
              <w:r>
                <w:t>, на который не предоставлена документация п. 2.6.8 настоящего Приложения.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>
                <w:rPr>
                  <w:color w:val="000000"/>
                </w:rPr>
                <w:t>11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Покупателю(</w:t>
              </w:r>
              <w:r w:rsidRPr="00D92E6A">
                <w:t>в течении 15(пятнадцати) рабочих дней с даты Акцепта Оферты</w:t>
              </w:r>
              <w:r w:rsidRPr="00D92E6A">
                <w:rPr>
                  <w:color w:val="000000"/>
                </w:rPr>
    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</w:t>
              </w:r>
              <w:r w:rsidR="000B2EF6">
                <w:rPr>
                  <w:color w:val="000000"/>
                </w:rPr>
                <w:t xml:space="preserve"> - </w:t>
              </w:r>
              <w:r w:rsidR="000B2EF6">
                <w:t>Лот №1</w:t>
              </w:r>
              <w:r w:rsidRPr="00D92E6A">
                <w:rPr>
                  <w:color w:val="000000"/>
                </w:rPr>
                <w:t>.</w:t>
              </w:r>
            </w:p>
            <w:p w:rsidR="00885415" w:rsidRPr="00F973D5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.1</w:t>
              </w:r>
              <w:r>
                <w:rPr>
                  <w:color w:val="000000"/>
                </w:rPr>
                <w:t>2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>
                <w:t>11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    </w:r>
              <w:r>
                <w:t xml:space="preserve"> исполнения обязательства.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DC14B7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</w:t>
          </w:r>
          <w:r w:rsidR="00125B9C">
            <w:rPr>
              <w:color w:val="000000"/>
              <w:sz w:val="22"/>
              <w:szCs w:val="22"/>
            </w:rPr>
            <w:t>: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125B9C">
            <w:t xml:space="preserve">1) для </w:t>
          </w:r>
          <w:r w:rsidR="00125B9C" w:rsidRPr="00CE5B3C">
            <w:t>источников бесперебойного питания(Лот № 2) - не менее 36 (тридцати шести) месяцев со дня ввода</w:t>
          </w:r>
          <w:r w:rsidR="00125B9C" w:rsidRPr="001C459D">
            <w:t xml:space="preserve"> в эксплуатацию, срок эксплуатации – не менее </w:t>
          </w:r>
          <w:r w:rsidR="00125B9C">
            <w:t xml:space="preserve">15(пятнадцати) </w:t>
          </w:r>
          <w:r w:rsidR="00125B9C" w:rsidRPr="001C459D">
            <w:t>лет</w:t>
          </w:r>
          <w:r w:rsidR="00125B9C">
            <w:t xml:space="preserve"> </w:t>
          </w:r>
          <w:r w:rsidR="00125B9C" w:rsidRPr="001C459D">
            <w:t>со дня ввода в эксплуатацию</w:t>
          </w:r>
          <w:r w:rsidR="00125B9C">
            <w:t xml:space="preserve">, </w:t>
          </w:r>
          <w:r w:rsidR="00125B9C" w:rsidRPr="00CE5B3C">
            <w:t>2)для шкафов управления с частотными преобразователями(Лот № 1) - не менее 72 (семидесяти</w:t>
          </w:r>
          <w:r w:rsidR="00125B9C" w:rsidRPr="001C459D">
            <w:t xml:space="preserve"> </w:t>
          </w:r>
          <w:r w:rsidR="00125B9C">
            <w:t>двух</w:t>
          </w:r>
          <w:r w:rsidR="00125B9C" w:rsidRPr="001C459D">
            <w:t xml:space="preserve">) месяцев со дня ввода в эксплуатацию, срок эксплуатации – не менее </w:t>
          </w:r>
          <w:r w:rsidR="00125B9C">
            <w:t xml:space="preserve">30(тридцати) </w:t>
          </w:r>
          <w:r w:rsidR="00125B9C" w:rsidRPr="001C459D">
            <w:t>лет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484" w:rsidRDefault="00822484">
      <w:r>
        <w:separator/>
      </w:r>
    </w:p>
  </w:endnote>
  <w:endnote w:type="continuationSeparator" w:id="0">
    <w:p w:rsidR="00822484" w:rsidRDefault="0082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13B2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13B2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484" w:rsidRDefault="00822484">
      <w:r>
        <w:separator/>
      </w:r>
    </w:p>
  </w:footnote>
  <w:footnote w:type="continuationSeparator" w:id="0">
    <w:p w:rsidR="00822484" w:rsidRDefault="0082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A2BDA"/>
    <w:rsid w:val="000A4D5C"/>
    <w:rsid w:val="000A5B6C"/>
    <w:rsid w:val="000A5D08"/>
    <w:rsid w:val="000B01BE"/>
    <w:rsid w:val="000B10C7"/>
    <w:rsid w:val="000B2EF6"/>
    <w:rsid w:val="000B64A3"/>
    <w:rsid w:val="000C2420"/>
    <w:rsid w:val="000D0B45"/>
    <w:rsid w:val="000E0847"/>
    <w:rsid w:val="000E2985"/>
    <w:rsid w:val="000E4767"/>
    <w:rsid w:val="000E4DF8"/>
    <w:rsid w:val="001056F4"/>
    <w:rsid w:val="00111DD9"/>
    <w:rsid w:val="00114859"/>
    <w:rsid w:val="00115CE5"/>
    <w:rsid w:val="0011745F"/>
    <w:rsid w:val="00117935"/>
    <w:rsid w:val="00120AC5"/>
    <w:rsid w:val="00125B9C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658C"/>
    <w:rsid w:val="001E50FB"/>
    <w:rsid w:val="001E76B5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602A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2715"/>
    <w:rsid w:val="002D6794"/>
    <w:rsid w:val="002E06BB"/>
    <w:rsid w:val="002F6EE5"/>
    <w:rsid w:val="0030281B"/>
    <w:rsid w:val="00302E6C"/>
    <w:rsid w:val="00304C01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13B26"/>
    <w:rsid w:val="00527661"/>
    <w:rsid w:val="00532128"/>
    <w:rsid w:val="00535F63"/>
    <w:rsid w:val="0054137C"/>
    <w:rsid w:val="00550D88"/>
    <w:rsid w:val="0055514B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35D2"/>
    <w:rsid w:val="006157F7"/>
    <w:rsid w:val="00620B53"/>
    <w:rsid w:val="006216B0"/>
    <w:rsid w:val="00623D8F"/>
    <w:rsid w:val="006261FF"/>
    <w:rsid w:val="006349F1"/>
    <w:rsid w:val="0064462B"/>
    <w:rsid w:val="006510F3"/>
    <w:rsid w:val="00662256"/>
    <w:rsid w:val="00677E7B"/>
    <w:rsid w:val="0069505C"/>
    <w:rsid w:val="006965F5"/>
    <w:rsid w:val="00696F8F"/>
    <w:rsid w:val="006B3809"/>
    <w:rsid w:val="006B38F1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ECE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499F"/>
    <w:rsid w:val="00820262"/>
    <w:rsid w:val="00822484"/>
    <w:rsid w:val="00822AB4"/>
    <w:rsid w:val="00825F8F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D5E84"/>
    <w:rsid w:val="008D6A39"/>
    <w:rsid w:val="008E36F7"/>
    <w:rsid w:val="008F521B"/>
    <w:rsid w:val="00901307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4B03"/>
    <w:rsid w:val="00A678EF"/>
    <w:rsid w:val="00A70158"/>
    <w:rsid w:val="00A75360"/>
    <w:rsid w:val="00A93D25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52FF"/>
    <w:rsid w:val="00B61C63"/>
    <w:rsid w:val="00B62C92"/>
    <w:rsid w:val="00B73BD0"/>
    <w:rsid w:val="00B8343A"/>
    <w:rsid w:val="00B83646"/>
    <w:rsid w:val="00B83867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848A6"/>
    <w:rsid w:val="00CB45FC"/>
    <w:rsid w:val="00CB6E1E"/>
    <w:rsid w:val="00CC7F6E"/>
    <w:rsid w:val="00CD6DDF"/>
    <w:rsid w:val="00CE3CB4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14B7"/>
    <w:rsid w:val="00DC20F7"/>
    <w:rsid w:val="00DC73CF"/>
    <w:rsid w:val="00DD1557"/>
    <w:rsid w:val="00DD2762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258F0"/>
    <w:rsid w:val="00E33D50"/>
    <w:rsid w:val="00E3777F"/>
    <w:rsid w:val="00E4036E"/>
    <w:rsid w:val="00E421E3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03491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7658B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10312F"/>
    <w:rsid w:val="0011209C"/>
    <w:rsid w:val="0012303C"/>
    <w:rsid w:val="00175BF4"/>
    <w:rsid w:val="00293281"/>
    <w:rsid w:val="00297654"/>
    <w:rsid w:val="002C5049"/>
    <w:rsid w:val="00347877"/>
    <w:rsid w:val="0036331A"/>
    <w:rsid w:val="003E4A12"/>
    <w:rsid w:val="004430A6"/>
    <w:rsid w:val="00453F73"/>
    <w:rsid w:val="00483822"/>
    <w:rsid w:val="00493E92"/>
    <w:rsid w:val="00553DC2"/>
    <w:rsid w:val="00566446"/>
    <w:rsid w:val="00567D6E"/>
    <w:rsid w:val="00583C66"/>
    <w:rsid w:val="006266E3"/>
    <w:rsid w:val="00674183"/>
    <w:rsid w:val="007F03EF"/>
    <w:rsid w:val="008117CC"/>
    <w:rsid w:val="00825051"/>
    <w:rsid w:val="00861F46"/>
    <w:rsid w:val="008E7E0E"/>
    <w:rsid w:val="009A6F6A"/>
    <w:rsid w:val="00A0664F"/>
    <w:rsid w:val="00AA0BE3"/>
    <w:rsid w:val="00C406D3"/>
    <w:rsid w:val="00C43CA3"/>
    <w:rsid w:val="00CB2255"/>
    <w:rsid w:val="00D16562"/>
    <w:rsid w:val="00D33462"/>
    <w:rsid w:val="00D849C6"/>
    <w:rsid w:val="00E114AB"/>
    <w:rsid w:val="00E61F5C"/>
    <w:rsid w:val="00EB434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2E6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2E6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9B8D4-E26C-4CF9-A462-C9DA3454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44</cp:revision>
  <cp:lastPrinted>2017-06-07T05:58:00Z</cp:lastPrinted>
  <dcterms:created xsi:type="dcterms:W3CDTF">2017-02-16T08:32:00Z</dcterms:created>
  <dcterms:modified xsi:type="dcterms:W3CDTF">2017-06-07T12:37:00Z</dcterms:modified>
</cp:coreProperties>
</file>